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spacing w:after="0" w:before="0" w:line="276" w:lineRule="auto"/>
        <w:ind w:left="0" w:right="0" w:firstLine="0"/>
        <w:contextualSpacing w:val="0"/>
        <w:jc w:val="left"/>
        <w:rPr/>
      </w:pPr>
      <w:r w:rsidDel="00000000" w:rsidR="00000000" w:rsidRPr="00000000">
        <w:rPr>
          <w:rtl w:val="0"/>
        </w:rPr>
      </w:r>
    </w:p>
    <w:tbl>
      <w:tblPr>
        <w:tblStyle w:val="Table1"/>
        <w:tblW w:w="8549.0" w:type="dxa"/>
        <w:jc w:val="left"/>
        <w:tblInd w:w="-24.0" w:type="dxa"/>
        <w:tblLayout w:type="fixed"/>
        <w:tblLook w:val="0000"/>
      </w:tblPr>
      <w:tblGrid>
        <w:gridCol w:w="8549"/>
        <w:tblGridChange w:id="0">
          <w:tblGrid>
            <w:gridCol w:w="8549"/>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1">
            <w:pPr>
              <w:tabs>
                <w:tab w:val="center" w:pos="4252"/>
                <w:tab w:val="right" w:pos="8504"/>
              </w:tabs>
              <w:spacing w:after="0" w:before="0" w:line="240" w:lineRule="auto"/>
              <w:ind w:left="-54"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ACTA DE LA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SESIÓN ESPECIAL DE PRIORIZACIÓN</w:t>
            </w:r>
            <w:r w:rsidDel="00000000" w:rsidR="00000000" w:rsidRPr="00000000">
              <w:rPr>
                <w:rFonts w:ascii="Arial" w:cs="Arial" w:eastAsia="Arial" w:hAnsi="Arial"/>
                <w:sz w:val="22"/>
                <w:szCs w:val="22"/>
                <w:rtl w:val="0"/>
              </w:rPr>
              <w:t xml:space="preserve"> DE LA  MESA DE PRESUPUESTOS PARTICIPATIVOS DE MONTAÑANA,  31 de Mayo de 2018</w:t>
            </w:r>
          </w:p>
          <w:p w:rsidR="00000000" w:rsidDel="00000000" w:rsidP="00000000" w:rsidRDefault="00000000" w:rsidRPr="00000000" w14:paraId="00000002">
            <w:pPr>
              <w:tabs>
                <w:tab w:val="center" w:pos="4252"/>
                <w:tab w:val="right" w:pos="8504"/>
              </w:tabs>
              <w:spacing w:after="0" w:before="0" w:line="240" w:lineRule="auto"/>
              <w:ind w:left="-54" w:right="0" w:firstLine="0"/>
              <w:contextualSpacing w:val="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Lugar</w:t>
      </w:r>
      <w:r w:rsidDel="00000000" w:rsidR="00000000" w:rsidRPr="00000000">
        <w:rPr>
          <w:rFonts w:ascii="Arial" w:cs="Arial" w:eastAsia="Arial" w:hAnsi="Arial"/>
          <w:sz w:val="24"/>
          <w:szCs w:val="24"/>
          <w:rtl w:val="0"/>
        </w:rPr>
        <w:t xml:space="preserve">: Junta Vecinal de Montañana</w:t>
      </w:r>
    </w:p>
    <w:p w:rsidR="00000000" w:rsidDel="00000000" w:rsidP="00000000" w:rsidRDefault="00000000" w:rsidRPr="00000000" w14:paraId="00000006">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Hora</w:t>
      </w:r>
      <w:r w:rsidDel="00000000" w:rsidR="00000000" w:rsidRPr="00000000">
        <w:rPr>
          <w:rFonts w:ascii="Arial" w:cs="Arial" w:eastAsia="Arial" w:hAnsi="Arial"/>
          <w:sz w:val="24"/>
          <w:szCs w:val="24"/>
          <w:rtl w:val="0"/>
        </w:rPr>
        <w:t xml:space="preserve">: </w:t>
        <w:tab/>
        <w:t xml:space="preserve">  20:00 h. </w:t>
      </w:r>
    </w:p>
    <w:p w:rsidR="00000000" w:rsidDel="00000000" w:rsidP="00000000" w:rsidRDefault="00000000" w:rsidRPr="00000000" w14:paraId="0000000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contenidos de la reunión han sido los siguientes:</w:t>
      </w:r>
    </w:p>
    <w:p w:rsidR="00000000" w:rsidDel="00000000" w:rsidP="00000000" w:rsidRDefault="00000000" w:rsidRPr="00000000" w14:paraId="00000009">
      <w:pPr>
        <w:numPr>
          <w:ilvl w:val="0"/>
          <w:numId w:val="2"/>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Sesión Especial de Priorización de 10 propuestas.</w:t>
      </w:r>
    </w:p>
    <w:p w:rsidR="00000000" w:rsidDel="00000000" w:rsidP="00000000" w:rsidRDefault="00000000" w:rsidRPr="00000000" w14:paraId="0000000A">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Asistentes</w:t>
      </w:r>
    </w:p>
    <w:p w:rsidR="00000000" w:rsidDel="00000000" w:rsidP="00000000" w:rsidRDefault="00000000" w:rsidRPr="00000000" w14:paraId="0000000D">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inscribieron 21 personas en el registro de asistentes, entre las cuales se encontraban 1 funcionaria del Servicio de Distritos, y uno de la  Oficina Técnica de Participación, Transparencia y Gobierno Abierto (en adelante OTP),  cuyo detalle figura en el documento anexo que se adjunta.</w:t>
      </w:r>
    </w:p>
    <w:p w:rsidR="00000000" w:rsidDel="00000000" w:rsidP="00000000" w:rsidRDefault="00000000" w:rsidRPr="00000000" w14:paraId="0000000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Desarrollo de la Sesión:</w:t>
      </w:r>
    </w:p>
    <w:p w:rsidR="00000000" w:rsidDel="00000000" w:rsidP="00000000" w:rsidRDefault="00000000" w:rsidRPr="00000000" w14:paraId="00000011">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numPr>
          <w:ilvl w:val="0"/>
          <w:numId w:val="4"/>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 comprueba  por parte de la responsable de la unidad administrativa de Distritos el empadronamiento de las personas que van a participar en el proceso con derecho a voto.</w:t>
      </w:r>
    </w:p>
    <w:p w:rsidR="00000000" w:rsidDel="00000000" w:rsidP="00000000" w:rsidRDefault="00000000" w:rsidRPr="00000000" w14:paraId="0000001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4"/>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Por parte de la Coordinadora de la Mesa se realiza una breve presentación y explicación de la sesión que se va a realizar, incidiendo en la conveniencia de obtener un consenso. </w:t>
      </w:r>
    </w:p>
    <w:p w:rsidR="00000000" w:rsidDel="00000000" w:rsidP="00000000" w:rsidRDefault="00000000" w:rsidRPr="00000000" w14:paraId="0000001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parte de la Oficina Técnica de Participación, Transparencia y Gobierno Abierto se exponen los criterios a tener en cuenta a la hora de priorizar las propuestas seleccionadas para pasar a la fase de valoración técnica previa a las votaciones de las mismas.</w:t>
      </w:r>
    </w:p>
    <w:p w:rsidR="00000000" w:rsidDel="00000000" w:rsidP="00000000" w:rsidRDefault="00000000" w:rsidRPr="00000000" w14:paraId="0000001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numPr>
          <w:ilvl w:val="0"/>
          <w:numId w:val="4"/>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Coordinadora de la Mesa pasa a informar detalladamente sobre cada una de las propuestas presentadas y se abre un turno para aclaraciones o dudas sobre el contenido de las propuestas.</w:t>
      </w:r>
    </w:p>
    <w:p w:rsidR="00000000" w:rsidDel="00000000" w:rsidP="00000000" w:rsidRDefault="00000000" w:rsidRPr="00000000" w14:paraId="0000001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numPr>
          <w:ilvl w:val="0"/>
          <w:numId w:val="4"/>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Inicialmente se descartan las propuestas duplicadas, las que pueden tener un coste superior a la cantidad asignada al barrio para Presupuestos Participativos y aquellas con claros indicios de no resultar viables técnicamente.</w:t>
      </w:r>
    </w:p>
    <w:p w:rsidR="00000000" w:rsidDel="00000000" w:rsidP="00000000" w:rsidRDefault="00000000" w:rsidRPr="00000000" w14:paraId="0000001B">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numPr>
          <w:ilvl w:val="0"/>
          <w:numId w:val="4"/>
        </w:numPr>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Posteriormente se debate en plenario cuales de las propuestas restantes se consideran prioritarias, teniendo en cuenta los criterios expuestos en la primera parte de la sesión, hasta alcanzar el acuerdo por consenso de priorizar las 10 propuestas que se señalan a continuación y una más de reserva.</w:t>
      </w:r>
    </w:p>
    <w:p w:rsidR="00000000" w:rsidDel="00000000" w:rsidP="00000000" w:rsidRDefault="00000000" w:rsidRPr="00000000" w14:paraId="0000001D">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contextualSpacing w:val="1"/>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 relación de propuestas priorizadas es la siguiente:</w:t>
      </w:r>
    </w:p>
    <w:p w:rsidR="00000000" w:rsidDel="00000000" w:rsidP="00000000" w:rsidRDefault="00000000" w:rsidRPr="00000000" w14:paraId="0000001F">
      <w:pPr>
        <w:ind w:left="0" w:firstLine="0"/>
        <w:contextualSpacing w:val="0"/>
        <w:jc w:val="both"/>
        <w:rPr>
          <w:rFonts w:ascii="Arial" w:cs="Arial" w:eastAsia="Arial" w:hAnsi="Arial"/>
          <w:sz w:val="24"/>
          <w:szCs w:val="24"/>
        </w:rPr>
      </w:pPr>
      <w:r w:rsidDel="00000000" w:rsidR="00000000" w:rsidRPr="00000000">
        <w:rPr>
          <w:rtl w:val="0"/>
        </w:rPr>
      </w:r>
    </w:p>
    <w:tbl>
      <w:tblPr>
        <w:tblStyle w:val="Table2"/>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110"/>
        <w:tblGridChange w:id="0">
          <w:tblGrid>
            <w:gridCol w:w="1380"/>
            <w:gridCol w:w="7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 3573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Cerramiento con pértiga y redes del lateral del campo, como en todos los campos municipales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 3482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Toldo patio interior centro de mayores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Alisado de las paredes del porche del CEIP Hermanos Argensola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Instalaciones deportivas al aire libre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Reapertura finca municipal Gran Capitán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3605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Montaje de dos porterias plegables para futbol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Pintar el comedor del CEIP Hermanos Argensola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3534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Publicidad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Revisar iluminación Parque de los Donantes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Adquisición ruedo portátil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Reserva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 3411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Renovación andador peatonal del Parque</w:t>
            </w:r>
          </w:p>
        </w:tc>
      </w:tr>
    </w:tbl>
    <w:p w:rsidR="00000000" w:rsidDel="00000000" w:rsidP="00000000" w:rsidRDefault="00000000" w:rsidRPr="00000000" w14:paraId="00000037">
      <w:pPr>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habiendo más asuntos que tratar se levanta la sesión a las 22:30 horas del día y lugar al principio indicados, agradeciendo a todas las personas presentes su participación en el proceso.</w:t>
      </w:r>
    </w:p>
    <w:p w:rsidR="00000000" w:rsidDel="00000000" w:rsidP="00000000" w:rsidRDefault="00000000" w:rsidRPr="00000000" w14:paraId="0000003A">
      <w:pPr>
        <w:spacing w:after="0" w:before="0" w:line="240" w:lineRule="auto"/>
        <w:ind w:left="4320"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after="0" w:before="0" w:line="240" w:lineRule="auto"/>
        <w:ind w:left="4320"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after="0" w:before="0" w:line="240" w:lineRule="auto"/>
        <w:ind w:left="4320" w:firstLine="73.70078740157453"/>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FIRMADO:</w:t>
      </w:r>
    </w:p>
    <w:p w:rsidR="00000000" w:rsidDel="00000000" w:rsidP="00000000" w:rsidRDefault="00000000" w:rsidRPr="00000000" w14:paraId="0000003D">
      <w:pPr>
        <w:spacing w:after="0" w:before="0" w:line="240" w:lineRule="auto"/>
        <w:ind w:left="4320"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after="0" w:before="0" w:line="240" w:lineRule="auto"/>
        <w:ind w:left="432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after="0" w:before="0" w:line="240" w:lineRule="auto"/>
        <w:ind w:left="432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after="0" w:before="0" w:line="240" w:lineRule="auto"/>
        <w:ind w:left="432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after="0" w:before="0" w:line="240" w:lineRule="auto"/>
        <w:ind w:left="432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Luis Vidal Peguero</w:t>
      </w:r>
    </w:p>
    <w:p w:rsidR="00000000" w:rsidDel="00000000" w:rsidP="00000000" w:rsidRDefault="00000000" w:rsidRPr="00000000" w14:paraId="00000042">
      <w:pPr>
        <w:spacing w:after="0" w:before="0" w:line="240" w:lineRule="auto"/>
        <w:ind w:left="4320" w:firstLine="0"/>
        <w:contextualSpacing w:val="0"/>
        <w:jc w:val="center"/>
        <w:rPr>
          <w:i w:val="1"/>
        </w:rPr>
      </w:pPr>
      <w:r w:rsidDel="00000000" w:rsidR="00000000" w:rsidRPr="00000000">
        <w:rPr>
          <w:rFonts w:ascii="Arial" w:cs="Arial" w:eastAsia="Arial" w:hAnsi="Arial"/>
          <w:rtl w:val="0"/>
        </w:rPr>
        <w:t xml:space="preserve">Oficina Técnica de Participación, Transparencia y Gobierno Abierto</w:t>
      </w:r>
      <w:r w:rsidDel="00000000" w:rsidR="00000000" w:rsidRPr="00000000">
        <w:rPr>
          <w:rtl w:val="0"/>
        </w:rPr>
      </w:r>
    </w:p>
    <w:sectPr>
      <w:headerReference r:id="rId6" w:type="default"/>
      <w:footerReference r:id="rId7" w:type="default"/>
      <w:pgSz w:h="16838" w:w="11906"/>
      <w:pgMar w:bottom="1133.8582677165355" w:top="1133.8582677165355" w:left="1700.7874015748032" w:right="1700.787401574803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252"/>
        <w:tab w:val="right" w:pos="8504"/>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spacing w:after="0" w:before="0" w:line="276" w:lineRule="auto"/>
      <w:ind w:left="0" w:right="0" w:firstLine="0"/>
      <w:contextualSpacing w:val="0"/>
      <w:jc w:val="right"/>
      <w:rPr/>
    </w:pPr>
    <w:r w:rsidDel="00000000" w:rsidR="00000000" w:rsidRPr="00000000">
      <w:rPr>
        <w:rtl w:val="0"/>
      </w:rPr>
    </w:r>
  </w:p>
  <w:tbl>
    <w:tblPr>
      <w:tblStyle w:val="Table3"/>
      <w:tblW w:w="8526.0" w:type="dxa"/>
      <w:jc w:val="left"/>
      <w:tblInd w:w="1.0" w:type="dxa"/>
      <w:tblLayout w:type="fixed"/>
      <w:tblLook w:val="0000"/>
    </w:tblPr>
    <w:tblGrid>
      <w:gridCol w:w="2694.0000000000005"/>
      <w:gridCol w:w="575.9999999999997"/>
      <w:gridCol w:w="5256"/>
      <w:tblGridChange w:id="0">
        <w:tblGrid>
          <w:gridCol w:w="2694.0000000000005"/>
          <w:gridCol w:w="575.9999999999997"/>
          <w:gridCol w:w="5256"/>
        </w:tblGrid>
      </w:tblGridChange>
    </w:tblGrid>
    <w:tr>
      <w:trPr>
        <w:trHeight w:val="140" w:hRule="atLeast"/>
      </w:trPr>
      <w:tc>
        <w:tcPr>
          <w:vMerge w:val="restart"/>
        </w:tcPr>
        <w:p w:rsidR="00000000" w:rsidDel="00000000" w:rsidP="00000000" w:rsidRDefault="00000000" w:rsidRPr="00000000" w14:paraId="00000044">
          <w:pPr>
            <w:spacing w:before="720" w:lineRule="auto"/>
            <w:contextualSpacing w:val="0"/>
            <w:rPr/>
          </w:pPr>
          <w:r w:rsidDel="00000000" w:rsidR="00000000" w:rsidRPr="00000000">
            <w:rPr/>
            <w:drawing>
              <wp:inline distB="114300" distT="114300" distL="114300" distR="114300">
                <wp:extent cx="1619250" cy="4064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19250" cy="406400"/>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45">
          <w:pPr>
            <w:spacing w:before="720" w:lineRule="auto"/>
            <w:ind w:right="-61"/>
            <w:contextualSpacing w:val="0"/>
            <w:rPr/>
          </w:pPr>
          <w:r w:rsidDel="00000000" w:rsidR="00000000" w:rsidRPr="00000000">
            <w:rPr>
              <w:rtl w:val="0"/>
            </w:rPr>
          </w:r>
        </w:p>
      </w:tc>
      <w:tc>
        <w:tcPr/>
        <w:p w:rsidR="00000000" w:rsidDel="00000000" w:rsidP="00000000" w:rsidRDefault="00000000" w:rsidRPr="00000000" w14:paraId="00000046">
          <w:pPr>
            <w:contextualSpacing w:val="0"/>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PRESUPUESTOS PARTICIPATIVOS</w:t>
          </w:r>
        </w:p>
        <w:p w:rsidR="00000000" w:rsidDel="00000000" w:rsidP="00000000" w:rsidRDefault="00000000" w:rsidRPr="00000000" w14:paraId="00000047">
          <w:pPr>
            <w:contextualSpacing w:val="0"/>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BARRIOS RURALES  2018</w:t>
          </w:r>
        </w:p>
        <w:p w:rsidR="00000000" w:rsidDel="00000000" w:rsidP="00000000" w:rsidRDefault="00000000" w:rsidRPr="00000000" w14:paraId="00000048">
          <w:pPr>
            <w:contextualSpacing w:val="0"/>
            <w:jc w:val="right"/>
            <w:rPr>
              <w:rFonts w:ascii="Arial Narrow" w:cs="Arial Narrow" w:eastAsia="Arial Narrow" w:hAnsi="Arial Narrow"/>
              <w:sz w:val="24"/>
              <w:szCs w:val="24"/>
            </w:rPr>
          </w:pPr>
          <w:r w:rsidDel="00000000" w:rsidR="00000000" w:rsidRPr="00000000">
            <w:rPr>
              <w:rtl w:val="0"/>
            </w:rPr>
          </w:r>
        </w:p>
      </w:tc>
    </w:tr>
    <w:tr>
      <w:trPr>
        <w:trHeight w:val="140" w:hRule="atLeast"/>
      </w:trP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4A">
          <w:pPr>
            <w:keepNext w:val="0"/>
            <w:keepLines w:val="0"/>
            <w:widowControl w:val="0"/>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B">
          <w:pPr>
            <w:spacing w:before="720" w:lineRule="auto"/>
            <w:contextualSpacing w:val="0"/>
            <w:rPr/>
          </w:pPr>
          <w:r w:rsidDel="00000000" w:rsidR="00000000" w:rsidRPr="00000000">
            <w:rPr>
              <w:rtl w:val="0"/>
            </w:rPr>
          </w:r>
        </w:p>
        <w:p w:rsidR="00000000" w:rsidDel="00000000" w:rsidP="00000000" w:rsidRDefault="00000000" w:rsidRPr="00000000" w14:paraId="0000004C">
          <w:pPr>
            <w:spacing w:before="720" w:lineRule="auto"/>
            <w:ind w:right="-61"/>
            <w:contextualSpacing w:val="0"/>
            <w:rPr/>
          </w:pPr>
          <w:r w:rsidDel="00000000" w:rsidR="00000000" w:rsidRPr="00000000">
            <w:rPr>
              <w:rtl w:val="0"/>
            </w:rPr>
          </w:r>
        </w:p>
      </w:tc>
      <w:tc>
        <w:tcPr/>
        <w:p w:rsidR="00000000" w:rsidDel="00000000" w:rsidP="00000000" w:rsidRDefault="00000000" w:rsidRPr="00000000" w14:paraId="0000004D">
          <w:pPr>
            <w:keepNext w:val="1"/>
            <w:numPr>
              <w:ilvl w:val="3"/>
              <w:numId w:val="3"/>
            </w:numPr>
            <w:spacing w:after="0" w:before="0" w:line="240" w:lineRule="auto"/>
            <w:ind w:left="864" w:hanging="864"/>
            <w:contextualSpacing w:val="0"/>
            <w:jc w:val="right"/>
            <w:rPr>
              <w:rFonts w:ascii="Arial" w:cs="Arial" w:eastAsia="Arial" w:hAnsi="Arial"/>
              <w:b w:val="0"/>
              <w:sz w:val="22"/>
              <w:szCs w:val="22"/>
            </w:rPr>
          </w:pPr>
          <w:r w:rsidDel="00000000" w:rsidR="00000000" w:rsidRPr="00000000">
            <w:rPr>
              <w:rFonts w:ascii="Arial Narrow" w:cs="Arial Narrow" w:eastAsia="Arial Narrow" w:hAnsi="Arial Narrow"/>
              <w:sz w:val="22"/>
              <w:szCs w:val="22"/>
              <w:rtl w:val="0"/>
            </w:rPr>
            <w:t xml:space="preserve">AC-18/063</w:t>
          </w:r>
        </w:p>
        <w:p w:rsidR="00000000" w:rsidDel="00000000" w:rsidP="00000000" w:rsidRDefault="00000000" w:rsidRPr="00000000" w14:paraId="0000004E">
          <w:pPr>
            <w:keepNext w:val="1"/>
            <w:numPr>
              <w:ilvl w:val="3"/>
              <w:numId w:val="3"/>
            </w:numPr>
            <w:spacing w:after="0" w:before="0" w:line="240" w:lineRule="auto"/>
            <w:ind w:left="864" w:hanging="864"/>
            <w:contextualSpacing w:val="0"/>
            <w:jc w:val="righ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31/05/2018</w:t>
          </w:r>
        </w:p>
      </w:tc>
    </w:tr>
  </w:tbl>
  <w:p w:rsidR="00000000" w:rsidDel="00000000" w:rsidP="00000000" w:rsidRDefault="00000000" w:rsidRPr="00000000" w14:paraId="0000004F">
    <w:pPr>
      <w:tabs>
        <w:tab w:val="center" w:pos="4252"/>
        <w:tab w:val="right" w:pos="8504"/>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