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MODELO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I: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DECLARACIÓN RESPONSABLE DEL LICITADOR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Don/Doña ……, con DNI núm. ……, en su propio nombre/ en representación de la empresa ……, en calidad de (1)……, al objeto de participar en el contrato menor licitado por el Ayuntamiento de Zaragoza denominado “CONTRATO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MENOR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DE SERVICIO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S DE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PRODUCCIÓN DE CONTENIDOS GRÁFICOS Y AUDIOVISUALES 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</w:rPr>
        <w:t>ONLINE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Y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</w:rPr>
        <w:t>OFFLINE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PARA EL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P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LAN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I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NTEGRAL DEL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B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ARRIO 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O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LIVE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R</w:t>
      </w: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”.</w:t>
      </w:r>
    </w:p>
    <w:p>
      <w:pPr>
        <w:pStyle w:val="Normal"/>
        <w:bidi w:val="0"/>
        <w:jc w:val="both"/>
        <w:rPr>
          <w:rFonts w:ascii="Arial" w:hAnsi="Arial"/>
          <w:b/>
          <w:bCs/>
          <w:color w:val="000000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DECLARA BAJO SU RESPONSABILIDAD: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- Que ostenta la capacidad de representación de la entidad referenciada.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- 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- Que no está incurso en prohibiciones para contratar.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- 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- Que cumple con las obligaciones establecidas en la normativa vigente.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- 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shd w:fill="auto" w:val="clear"/>
        </w:rPr>
        <w:t>(Lugar, fecha y firma del representante).</w:t>
      </w:r>
    </w:p>
    <w:sectPr>
      <w:type w:val="nextPage"/>
      <w:pgSz w:w="11905" w:h="16837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" w:cs="Tahoma"/>
        <w:kern w:val="2"/>
        <w:sz w:val="24"/>
        <w:szCs w:val="24"/>
        <w:lang w:val="es-E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ial" w:cs="Tahoma"/>
      <w:color w:val="auto"/>
      <w:kern w:val="2"/>
      <w:sz w:val="24"/>
      <w:szCs w:val="24"/>
      <w:lang w:val="es-ES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192</Words>
  <Characters>1022</Characters>
  <CharactersWithSpaces>1205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2010-03-25T14:36:10Z</dcterms:created>
  <dc:creator>Servicio de Redes y Sistemas </dc:creator>
  <dc:description/>
  <dc:language>es-ES</dc:language>
  <cp:lastModifiedBy>BEATRIZ FERNANDO FONCILLAS</cp:lastModifiedBy>
  <dcterms:modified xsi:type="dcterms:W3CDTF">2026-06-18T13:23:42Z</dcterms:modified>
  <cp:revision>1</cp:revision>
  <dc:subject/>
  <dc:title/>
</cp:coreProperties>
</file>